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E3551">
      <w:pPr>
        <w:adjustRightInd w:val="0"/>
        <w:snapToGrid w:val="0"/>
        <w:spacing w:before="156" w:beforeLines="50" w:after="156" w:afterLines="50"/>
        <w:outlineLvl w:val="1"/>
        <w:rPr>
          <w:rFonts w:ascii="仿宋_GB2312" w:hAnsi="Courier New" w:eastAsia="仿宋_GB2312"/>
          <w:color w:val="auto"/>
          <w:sz w:val="24"/>
        </w:rPr>
      </w:pPr>
      <w:r>
        <w:rPr>
          <w:rFonts w:hint="eastAsia" w:ascii="仿宋_GB2312" w:hAnsi="仿宋" w:eastAsia="仿宋_GB2312"/>
          <w:b w:val="0"/>
          <w:bCs w:val="0"/>
          <w:color w:val="auto"/>
          <w:sz w:val="24"/>
          <w:szCs w:val="24"/>
          <w:lang w:val="en-US" w:eastAsia="zh-CN"/>
        </w:rPr>
        <w:t>附</w:t>
      </w:r>
      <w:r>
        <w:rPr>
          <w:rFonts w:hint="eastAsia" w:ascii="仿宋_GB2312" w:hAnsi="仿宋" w:eastAsia="仿宋_GB2312"/>
          <w:b w:val="0"/>
          <w:bCs w:val="0"/>
          <w:color w:val="auto"/>
          <w:sz w:val="24"/>
          <w:szCs w:val="24"/>
        </w:rPr>
        <w:t>件</w:t>
      </w:r>
      <w:r>
        <w:rPr>
          <w:rFonts w:hint="eastAsia" w:ascii="仿宋_GB2312" w:hAnsi="仿宋" w:eastAsia="仿宋_GB2312"/>
          <w:b w:val="0"/>
          <w:bCs w:val="0"/>
          <w:color w:val="auto"/>
          <w:sz w:val="24"/>
          <w:szCs w:val="24"/>
          <w:lang w:val="en-US" w:eastAsia="zh-CN"/>
        </w:rPr>
        <w:t>4</w:t>
      </w:r>
      <w:r>
        <w:rPr>
          <w:rFonts w:hint="eastAsia" w:ascii="仿宋_GB2312" w:hAnsi="仿宋" w:eastAsia="仿宋_GB2312"/>
          <w:b w:val="0"/>
          <w:bCs w:val="0"/>
          <w:color w:val="auto"/>
          <w:sz w:val="24"/>
          <w:szCs w:val="24"/>
        </w:rPr>
        <w:t xml:space="preserve">：  </w:t>
      </w:r>
      <w:r>
        <w:rPr>
          <w:rFonts w:hint="eastAsia" w:ascii="仿宋_GB2312" w:hAnsi="仿宋" w:eastAsia="仿宋_GB2312"/>
          <w:b/>
          <w:bCs/>
          <w:color w:val="auto"/>
          <w:sz w:val="24"/>
          <w:szCs w:val="24"/>
        </w:rPr>
        <w:t xml:space="preserve"> </w:t>
      </w:r>
      <w:r>
        <w:rPr>
          <w:rFonts w:hint="eastAsia" w:ascii="仿宋_GB2312" w:hAnsi="仿宋" w:eastAsia="仿宋_GB2312"/>
          <w:b/>
          <w:bCs/>
          <w:color w:val="auto"/>
          <w:sz w:val="24"/>
        </w:rPr>
        <w:t xml:space="preserve">   </w:t>
      </w:r>
    </w:p>
    <w:p w14:paraId="2E10F5B3">
      <w:pPr>
        <w:adjustRightInd w:val="0"/>
        <w:snapToGrid w:val="0"/>
        <w:spacing w:before="156" w:beforeLines="50" w:after="156" w:afterLines="50"/>
        <w:jc w:val="center"/>
        <w:outlineLvl w:val="1"/>
        <w:rPr>
          <w:rFonts w:ascii="仿宋" w:hAnsi="仿宋" w:eastAsia="仿宋" w:cs="仿宋"/>
          <w:b/>
          <w:bCs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新版《能源管理体系认证规则》换版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申请</w:t>
      </w:r>
      <w:bookmarkStart w:id="0" w:name="_GoBack"/>
      <w:bookmarkEnd w:id="0"/>
    </w:p>
    <w:p w14:paraId="3477382F">
      <w:pPr>
        <w:spacing w:before="156" w:beforeLines="50" w:after="156" w:afterLines="50"/>
        <w:jc w:val="center"/>
        <w:rPr>
          <w:rFonts w:ascii="仿宋" w:hAnsi="仿宋" w:eastAsia="仿宋" w:cs="仿宋"/>
          <w:bCs/>
          <w:color w:val="auto"/>
          <w:sz w:val="24"/>
        </w:rPr>
      </w:pPr>
    </w:p>
    <w:p w14:paraId="4D243239">
      <w:pPr>
        <w:adjustRightInd w:val="0"/>
        <w:snapToGrid w:val="0"/>
        <w:spacing w:before="156" w:beforeLines="50" w:after="156" w:afterLines="50"/>
        <w:outlineLvl w:val="1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北京中化联合认证有限公司：</w:t>
      </w:r>
    </w:p>
    <w:p w14:paraId="1BD97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color w:val="auto"/>
          <w:sz w:val="24"/>
        </w:rPr>
      </w:pPr>
      <w:r>
        <w:rPr>
          <w:rFonts w:ascii="仿宋" w:hAnsi="仿宋" w:eastAsia="仿宋"/>
          <w:color w:val="auto"/>
          <w:sz w:val="24"/>
        </w:rPr>
        <w:t xml:space="preserve">    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24"/>
          <w:u w:val="single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/>
          <w:color w:val="auto"/>
          <w:sz w:val="24"/>
          <w:u w:val="none"/>
          <w:lang w:val="en-US" w:eastAsia="zh-CN"/>
        </w:rPr>
        <w:t xml:space="preserve"> 承诺</w:t>
      </w:r>
      <w:r>
        <w:rPr>
          <w:rFonts w:hint="eastAsia" w:ascii="仿宋" w:hAnsi="仿宋" w:eastAsia="仿宋"/>
          <w:color w:val="auto"/>
          <w:sz w:val="24"/>
        </w:rPr>
        <w:t>已按照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>CNCA-EnMS-01:2026《能源管理体系认证规则》组织了学习并满足此规则中的相关要求</w:t>
      </w:r>
      <w:r>
        <w:rPr>
          <w:rFonts w:hint="eastAsia" w:ascii="仿宋" w:hAnsi="仿宋" w:eastAsia="仿宋"/>
          <w:color w:val="auto"/>
          <w:sz w:val="24"/>
        </w:rPr>
        <w:t>。现向贵司申请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>新版能源管理体系认证规则</w:t>
      </w:r>
      <w:r>
        <w:rPr>
          <w:rFonts w:hint="eastAsia" w:ascii="仿宋" w:hAnsi="仿宋" w:eastAsia="仿宋"/>
          <w:color w:val="auto"/>
          <w:sz w:val="24"/>
        </w:rPr>
        <w:t>换版，换版方式为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24"/>
          <w:highlight w:val="none"/>
        </w:rPr>
        <w:t>□结合监督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24"/>
          <w:highlight w:val="none"/>
        </w:rPr>
        <w:t xml:space="preserve"> □结合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再认证</w:t>
      </w:r>
      <w:r>
        <w:rPr>
          <w:rFonts w:hint="eastAsia" w:ascii="仿宋" w:hAnsi="仿宋" w:eastAsia="仿宋"/>
          <w:color w:val="auto"/>
          <w:sz w:val="24"/>
          <w:highlight w:val="none"/>
        </w:rPr>
        <w:t>。</w:t>
      </w:r>
    </w:p>
    <w:p w14:paraId="27F2B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换版申请资料如下：</w:t>
      </w:r>
    </w:p>
    <w:p w14:paraId="46092C90">
      <w:pPr>
        <w:spacing w:before="50" w:after="156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1、证书相关信息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4"/>
        <w:gridCol w:w="2946"/>
        <w:gridCol w:w="2946"/>
      </w:tblGrid>
      <w:tr w14:paraId="498C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pct"/>
            <w:noWrap w:val="0"/>
            <w:vAlign w:val="center"/>
          </w:tcPr>
          <w:p w14:paraId="28902397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旧版证书编号</w:t>
            </w:r>
          </w:p>
        </w:tc>
        <w:tc>
          <w:tcPr>
            <w:tcW w:w="1582" w:type="pct"/>
            <w:noWrap w:val="0"/>
            <w:vAlign w:val="center"/>
          </w:tcPr>
          <w:p w14:paraId="7EAEC549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旧版证书有效期</w:t>
            </w:r>
          </w:p>
        </w:tc>
        <w:tc>
          <w:tcPr>
            <w:tcW w:w="1582" w:type="pct"/>
            <w:noWrap w:val="0"/>
            <w:vAlign w:val="center"/>
          </w:tcPr>
          <w:p w14:paraId="48BB3A1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备注</w:t>
            </w:r>
          </w:p>
        </w:tc>
      </w:tr>
      <w:tr w14:paraId="44D4E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pct"/>
            <w:noWrap w:val="0"/>
            <w:vAlign w:val="top"/>
          </w:tcPr>
          <w:p w14:paraId="50D8A71F">
            <w:pPr>
              <w:adjustRightInd w:val="0"/>
              <w:snapToGrid w:val="0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82" w:type="pct"/>
            <w:noWrap w:val="0"/>
            <w:vAlign w:val="top"/>
          </w:tcPr>
          <w:p w14:paraId="71E4D125">
            <w:pPr>
              <w:adjustRightInd w:val="0"/>
              <w:snapToGrid w:val="0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82" w:type="pct"/>
            <w:noWrap w:val="0"/>
            <w:vAlign w:val="top"/>
          </w:tcPr>
          <w:p w14:paraId="4E501612">
            <w:pPr>
              <w:adjustRightInd w:val="0"/>
              <w:snapToGrid w:val="0"/>
              <w:rPr>
                <w:rFonts w:ascii="仿宋" w:hAnsi="仿宋" w:eastAsia="仿宋"/>
                <w:color w:val="auto"/>
                <w:sz w:val="24"/>
              </w:rPr>
            </w:pPr>
          </w:p>
        </w:tc>
      </w:tr>
    </w:tbl>
    <w:p w14:paraId="19C29457">
      <w:pPr>
        <w:adjustRightInd w:val="0"/>
        <w:snapToGrid w:val="0"/>
        <w:rPr>
          <w:rFonts w:ascii="仿宋" w:hAnsi="仿宋" w:eastAsia="仿宋"/>
          <w:color w:val="auto"/>
          <w:sz w:val="24"/>
        </w:rPr>
      </w:pPr>
    </w:p>
    <w:p w14:paraId="4DDED4EB">
      <w:pPr>
        <w:adjustRightInd w:val="0"/>
        <w:snapToGrid w:val="0"/>
        <w:rPr>
          <w:rFonts w:ascii="仿宋" w:hAnsi="仿宋" w:eastAsia="仿宋"/>
          <w:color w:val="auto"/>
          <w:sz w:val="24"/>
          <w:u w:val="single"/>
        </w:rPr>
      </w:pPr>
    </w:p>
    <w:p w14:paraId="5B26B408">
      <w:pPr>
        <w:numPr>
          <w:ilvl w:val="0"/>
          <w:numId w:val="1"/>
        </w:numPr>
        <w:adjustRightInd w:val="0"/>
        <w:snapToGrid w:val="0"/>
        <w:jc w:val="left"/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Arial"/>
          <w:bCs/>
          <w:color w:val="auto"/>
          <w:sz w:val="24"/>
        </w:rPr>
        <w:t>旧版证书交回方式：</w:t>
      </w:r>
    </w:p>
    <w:p w14:paraId="0B473494">
      <w:pPr>
        <w:numPr>
          <w:ilvl w:val="0"/>
          <w:numId w:val="0"/>
        </w:numPr>
        <w:adjustRightInd w:val="0"/>
        <w:snapToGrid w:val="0"/>
        <w:ind w:firstLine="480" w:firstLineChars="200"/>
        <w:jc w:val="left"/>
        <w:rPr>
          <w:rFonts w:hint="eastAsia" w:ascii="仿宋" w:hAnsi="仿宋" w:eastAsia="仿宋" w:cs="Arial"/>
          <w:bCs/>
          <w:color w:val="auto"/>
          <w:sz w:val="24"/>
        </w:rPr>
      </w:pPr>
      <w:r>
        <w:rPr>
          <w:rFonts w:hint="eastAsia" w:ascii="仿宋" w:hAnsi="仿宋" w:eastAsia="仿宋" w:cs="Arial"/>
          <w:bCs/>
          <w:color w:val="auto"/>
          <w:sz w:val="24"/>
        </w:rPr>
        <w:sym w:font="Wingdings 2" w:char="00A3"/>
      </w:r>
      <w:r>
        <w:rPr>
          <w:rFonts w:hint="eastAsia" w:ascii="仿宋" w:hAnsi="仿宋" w:eastAsia="仿宋" w:cs="Arial"/>
          <w:bCs/>
          <w:color w:val="auto"/>
          <w:sz w:val="24"/>
        </w:rPr>
        <w:t xml:space="preserve">随申请交回原件  </w:t>
      </w:r>
    </w:p>
    <w:p w14:paraId="18DD293D">
      <w:pPr>
        <w:numPr>
          <w:ilvl w:val="0"/>
          <w:numId w:val="0"/>
        </w:numPr>
        <w:adjustRightInd w:val="0"/>
        <w:snapToGrid w:val="0"/>
        <w:ind w:firstLine="480" w:firstLineChars="200"/>
        <w:jc w:val="left"/>
        <w:rPr>
          <w:rFonts w:hint="eastAsia" w:ascii="仿宋" w:hAnsi="仿宋" w:eastAsia="仿宋" w:cs="Arial"/>
          <w:bCs/>
          <w:color w:val="auto"/>
          <w:sz w:val="24"/>
        </w:rPr>
      </w:pPr>
      <w:r>
        <w:rPr>
          <w:rFonts w:hint="eastAsia" w:ascii="仿宋" w:hAnsi="仿宋" w:eastAsia="仿宋" w:cs="Arial"/>
          <w:bCs/>
          <w:color w:val="auto"/>
          <w:sz w:val="24"/>
        </w:rPr>
        <w:sym w:font="Wingdings 2" w:char="00A3"/>
      </w:r>
      <w:r>
        <w:rPr>
          <w:rFonts w:hint="eastAsia" w:ascii="仿宋" w:hAnsi="仿宋" w:eastAsia="仿宋" w:cs="Arial"/>
          <w:bCs/>
          <w:color w:val="auto"/>
          <w:sz w:val="24"/>
        </w:rPr>
        <w:t xml:space="preserve">随申请提交销毁的证据  </w:t>
      </w:r>
    </w:p>
    <w:p w14:paraId="47958B6E">
      <w:pPr>
        <w:numPr>
          <w:ilvl w:val="0"/>
          <w:numId w:val="0"/>
        </w:numPr>
        <w:adjustRightInd w:val="0"/>
        <w:snapToGrid w:val="0"/>
        <w:ind w:firstLine="480" w:firstLineChars="200"/>
        <w:jc w:val="left"/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Arial"/>
          <w:bCs/>
          <w:color w:val="auto"/>
          <w:sz w:val="24"/>
          <w:lang w:eastAsia="zh-CN"/>
        </w:rPr>
        <w:t>□</w:t>
      </w:r>
      <w:r>
        <w:rPr>
          <w:rFonts w:hint="eastAsia" w:ascii="仿宋" w:hAnsi="仿宋" w:eastAsia="仿宋" w:cs="Arial"/>
          <w:bCs/>
          <w:strike w:val="0"/>
          <w:dstrike w:val="0"/>
          <w:color w:val="auto"/>
          <w:sz w:val="24"/>
          <w:highlight w:val="none"/>
          <w:lang w:val="en-US" w:eastAsia="zh-CN"/>
        </w:rPr>
        <w:t>审核</w:t>
      </w:r>
      <w:r>
        <w:rPr>
          <w:rFonts w:hint="eastAsia" w:ascii="仿宋" w:hAnsi="仿宋" w:eastAsia="仿宋" w:cs="Arial"/>
          <w:bCs/>
          <w:color w:val="auto"/>
          <w:sz w:val="24"/>
          <w:highlight w:val="none"/>
        </w:rPr>
        <w:t>组</w:t>
      </w:r>
      <w:r>
        <w:rPr>
          <w:rFonts w:hint="eastAsia" w:ascii="仿宋" w:hAnsi="仿宋" w:eastAsia="仿宋" w:cs="Arial"/>
          <w:bCs/>
          <w:color w:val="auto"/>
          <w:sz w:val="24"/>
        </w:rPr>
        <w:t>现场带回</w:t>
      </w:r>
      <w:r>
        <w:rPr>
          <w:rFonts w:hint="eastAsia" w:ascii="仿宋" w:hAnsi="仿宋" w:eastAsia="仿宋" w:cs="Arial"/>
          <w:bCs/>
          <w:color w:val="auto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 xml:space="preserve"> </w:t>
      </w:r>
    </w:p>
    <w:p w14:paraId="21B22DE3">
      <w:pPr>
        <w:numPr>
          <w:ilvl w:val="0"/>
          <w:numId w:val="0"/>
        </w:numPr>
        <w:adjustRightInd w:val="0"/>
        <w:snapToGrid w:val="0"/>
        <w:ind w:firstLine="480" w:firstLineChars="200"/>
        <w:jc w:val="left"/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□全部为电子证书，无需交回</w:t>
      </w:r>
    </w:p>
    <w:p w14:paraId="715C8C17">
      <w:pPr>
        <w:numPr>
          <w:ilvl w:val="0"/>
          <w:numId w:val="0"/>
        </w:numPr>
        <w:spacing w:before="50" w:after="156"/>
        <w:jc w:val="left"/>
        <w:rPr>
          <w:rFonts w:ascii="仿宋" w:hAnsi="仿宋" w:eastAsia="仿宋" w:cs="Arial"/>
          <w:bCs/>
          <w:color w:val="auto"/>
          <w:sz w:val="24"/>
        </w:rPr>
      </w:pPr>
    </w:p>
    <w:p w14:paraId="5102843B">
      <w:pPr>
        <w:spacing w:before="50" w:after="156"/>
        <w:jc w:val="left"/>
        <w:rPr>
          <w:rFonts w:ascii="仿宋" w:hAnsi="仿宋" w:eastAsia="仿宋" w:cs="Arial"/>
          <w:bCs/>
          <w:color w:val="auto"/>
          <w:sz w:val="24"/>
        </w:rPr>
      </w:pPr>
    </w:p>
    <w:p w14:paraId="475F75DD">
      <w:pPr>
        <w:adjustRightInd w:val="0"/>
        <w:snapToGrid w:val="0"/>
        <w:spacing w:before="156" w:beforeLines="50" w:after="156" w:afterLines="50"/>
        <w:outlineLvl w:val="1"/>
        <w:rPr>
          <w:rFonts w:ascii="仿宋" w:hAnsi="仿宋" w:eastAsia="仿宋" w:cs="Arial"/>
          <w:bCs/>
          <w:color w:val="auto"/>
          <w:sz w:val="24"/>
        </w:rPr>
      </w:pPr>
    </w:p>
    <w:p w14:paraId="0DA4DC07">
      <w:pPr>
        <w:pStyle w:val="2"/>
        <w:rPr>
          <w:rFonts w:ascii="仿宋" w:hAnsi="仿宋" w:eastAsia="仿宋" w:cs="Arial"/>
          <w:bCs/>
          <w:color w:val="auto"/>
          <w:sz w:val="24"/>
          <w:szCs w:val="24"/>
        </w:rPr>
      </w:pPr>
    </w:p>
    <w:p w14:paraId="0C079ACA">
      <w:pPr>
        <w:adjustRightInd w:val="0"/>
        <w:snapToGrid w:val="0"/>
        <w:spacing w:before="156" w:beforeLines="50" w:after="156" w:afterLines="50"/>
        <w:jc w:val="center"/>
        <w:outlineLvl w:val="1"/>
        <w:rPr>
          <w:rFonts w:ascii="仿宋" w:hAnsi="仿宋" w:eastAsia="仿宋" w:cs="Arial"/>
          <w:bCs/>
          <w:color w:val="auto"/>
          <w:sz w:val="24"/>
        </w:rPr>
      </w:pPr>
      <w:r>
        <w:rPr>
          <w:rFonts w:hint="eastAsia" w:ascii="仿宋" w:hAnsi="仿宋" w:eastAsia="仿宋" w:cs="Arial"/>
          <w:bCs/>
          <w:color w:val="auto"/>
          <w:sz w:val="24"/>
        </w:rPr>
        <w:t xml:space="preserve">                        申请企业负责人签字或盖章：</w:t>
      </w:r>
    </w:p>
    <w:p w14:paraId="40B5E599">
      <w:pPr>
        <w:adjustRightInd w:val="0"/>
        <w:snapToGrid w:val="0"/>
        <w:spacing w:before="156" w:beforeLines="50" w:after="156" w:afterLines="50"/>
        <w:jc w:val="center"/>
        <w:outlineLvl w:val="1"/>
        <w:rPr>
          <w:rFonts w:ascii="仿宋" w:hAnsi="仿宋" w:eastAsia="仿宋" w:cs="Arial"/>
          <w:bCs/>
          <w:color w:val="auto"/>
          <w:sz w:val="24"/>
        </w:rPr>
      </w:pPr>
      <w:r>
        <w:rPr>
          <w:rFonts w:hint="eastAsia" w:ascii="仿宋" w:hAnsi="仿宋" w:eastAsia="仿宋" w:cs="Arial"/>
          <w:bCs/>
          <w:color w:val="auto"/>
          <w:sz w:val="24"/>
        </w:rPr>
        <w:t xml:space="preserve">                      年   月   日</w:t>
      </w:r>
      <w:r>
        <w:rPr>
          <w:rFonts w:ascii="仿宋" w:hAnsi="仿宋" w:eastAsia="仿宋" w:cs="Arial"/>
          <w:bCs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225425</wp:posOffset>
                </wp:positionV>
                <wp:extent cx="5905500" cy="1905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3pt;margin-top:17.75pt;height:1.5pt;width:465pt;z-index:251659264;mso-width-relative:page;mso-height-relative:page;" filled="f" stroked="t" coordsize="21600,21600" o:gfxdata="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BBMqPYAAAACAEAAA8AAAAAAAAAAQAgAAAAIgAAAGRycy9kb3ducmV2&#10;LnhtbFBLAQIUABQAAAAIAIdO4kAtjq2j/AEAAPIDAAAOAAAAAAAAAAEAIAAAACc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3887F01">
      <w:pPr>
        <w:adjustRightInd w:val="0"/>
        <w:snapToGrid w:val="0"/>
        <w:spacing w:before="156" w:beforeLines="50" w:after="156" w:afterLines="50"/>
        <w:outlineLvl w:val="1"/>
        <w:rPr>
          <w:rFonts w:ascii="仿宋" w:hAnsi="仿宋" w:eastAsia="仿宋" w:cs="Arial"/>
          <w:bCs/>
          <w:color w:val="auto"/>
          <w:sz w:val="24"/>
        </w:rPr>
      </w:pPr>
      <w:r>
        <w:rPr>
          <w:rFonts w:hint="eastAsia" w:ascii="仿宋" w:hAnsi="仿宋" w:eastAsia="仿宋" w:cs="Arial"/>
          <w:bCs/>
          <w:color w:val="auto"/>
          <w:sz w:val="24"/>
          <w:lang w:eastAsia="zh-CN"/>
        </w:rPr>
        <w:t>换版</w:t>
      </w:r>
      <w:r>
        <w:rPr>
          <w:rFonts w:hint="eastAsia" w:ascii="仿宋" w:hAnsi="仿宋" w:eastAsia="仿宋" w:cs="Arial"/>
          <w:bCs/>
          <w:color w:val="auto"/>
          <w:sz w:val="24"/>
        </w:rPr>
        <w:t>申请材料提交要求：</w:t>
      </w:r>
    </w:p>
    <w:p w14:paraId="28D90B0E">
      <w:pPr>
        <w:tabs>
          <w:tab w:val="center" w:pos="4536"/>
        </w:tabs>
        <w:adjustRightInd w:val="0"/>
        <w:snapToGrid w:val="0"/>
        <w:spacing w:before="156" w:beforeLines="50" w:after="156" w:afterLines="50"/>
        <w:ind w:firstLine="480" w:firstLineChars="200"/>
        <w:outlineLvl w:val="1"/>
        <w:rPr>
          <w:rFonts w:hint="default" w:ascii="仿宋" w:hAnsi="仿宋" w:eastAsia="仿宋" w:cs="仿宋"/>
          <w:bCs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Arial"/>
          <w:bCs/>
          <w:color w:val="auto"/>
          <w:sz w:val="24"/>
        </w:rPr>
        <w:t>HQC收件邮</w:t>
      </w:r>
      <w:r>
        <w:rPr>
          <w:rFonts w:hint="eastAsia" w:ascii="仿宋" w:hAnsi="仿宋" w:eastAsia="仿宋" w:cs="Arial"/>
          <w:bCs/>
          <w:color w:val="auto"/>
          <w:sz w:val="24"/>
          <w:highlight w:val="none"/>
        </w:rPr>
        <w:t>箱：</w:t>
      </w:r>
      <w:r>
        <w:rPr>
          <w:rFonts w:ascii="仿宋" w:eastAsia="仿宋" w:cs="Arial"/>
          <w:bCs/>
          <w:color w:val="auto"/>
          <w:sz w:val="24"/>
          <w:szCs w:val="24"/>
          <w:highlight w:val="none"/>
        </w:rPr>
        <w:fldChar w:fldCharType="begin"/>
      </w:r>
      <w:r>
        <w:rPr>
          <w:rFonts w:ascii="仿宋" w:eastAsia="仿宋" w:cs="Arial"/>
          <w:bCs/>
          <w:color w:val="auto"/>
          <w:sz w:val="24"/>
          <w:szCs w:val="24"/>
          <w:highlight w:val="none"/>
        </w:rPr>
        <w:instrText xml:space="preserve"> </w:instrText>
      </w:r>
      <w:r>
        <w:rPr>
          <w:rFonts w:hint="eastAsia" w:ascii="仿宋" w:eastAsia="仿宋" w:cs="Arial"/>
          <w:bCs/>
          <w:color w:val="auto"/>
          <w:sz w:val="24"/>
          <w:szCs w:val="24"/>
          <w:highlight w:val="none"/>
        </w:rPr>
        <w:instrText xml:space="preserve">HYPERLINK "mailto:rzb@hqc-china.com"</w:instrText>
      </w:r>
      <w:r>
        <w:rPr>
          <w:rFonts w:ascii="仿宋" w:eastAsia="仿宋" w:cs="Arial"/>
          <w:bCs/>
          <w:color w:val="auto"/>
          <w:sz w:val="24"/>
          <w:szCs w:val="24"/>
          <w:highlight w:val="none"/>
        </w:rPr>
        <w:instrText xml:space="preserve"> </w:instrText>
      </w:r>
      <w:r>
        <w:rPr>
          <w:rFonts w:ascii="仿宋" w:eastAsia="仿宋" w:cs="Arial"/>
          <w:bCs/>
          <w:color w:val="auto"/>
          <w:sz w:val="24"/>
          <w:szCs w:val="24"/>
          <w:highlight w:val="none"/>
        </w:rPr>
        <w:fldChar w:fldCharType="separate"/>
      </w:r>
      <w:r>
        <w:rPr>
          <w:rFonts w:hint="eastAsia" w:ascii="仿宋" w:eastAsia="仿宋" w:cs="Arial"/>
          <w:bCs/>
          <w:color w:val="auto"/>
          <w:sz w:val="24"/>
          <w:szCs w:val="24"/>
          <w:highlight w:val="none"/>
          <w:lang w:val="en-US" w:eastAsia="zh-CN"/>
        </w:rPr>
        <w:t>kf</w:t>
      </w:r>
      <w:r>
        <w:rPr>
          <w:rFonts w:hint="eastAsia" w:ascii="仿宋" w:eastAsia="仿宋" w:cs="Arial"/>
          <w:bCs/>
          <w:color w:val="auto"/>
          <w:sz w:val="24"/>
          <w:szCs w:val="24"/>
          <w:highlight w:val="none"/>
        </w:rPr>
        <w:t>@hqc-china.com</w:t>
      </w:r>
      <w:r>
        <w:rPr>
          <w:rFonts w:ascii="仿宋" w:eastAsia="仿宋" w:cs="Arial"/>
          <w:bCs/>
          <w:color w:val="auto"/>
          <w:sz w:val="24"/>
          <w:szCs w:val="24"/>
          <w:highlight w:val="none"/>
        </w:rPr>
        <w:fldChar w:fldCharType="end"/>
      </w:r>
    </w:p>
    <w:p w14:paraId="141C2092">
      <w:pPr>
        <w:pStyle w:val="7"/>
        <w:snapToGrid w:val="0"/>
        <w:spacing w:line="500" w:lineRule="exact"/>
        <w:ind w:firstLine="480" w:firstLineChars="200"/>
        <w:rPr>
          <w:rFonts w:hint="default" w:ascii="仿宋" w:hAnsi="仿宋" w:eastAsia="仿宋" w:cs="仿宋"/>
          <w:bCs/>
          <w:color w:val="auto"/>
          <w:highlight w:val="none"/>
          <w:lang w:val="en-US" w:eastAsia="zh-CN"/>
        </w:rPr>
      </w:pPr>
    </w:p>
    <w:p w14:paraId="194EBB40"/>
    <w:sectPr>
      <w:footerReference r:id="rId3" w:type="default"/>
      <w:pgSz w:w="11906" w:h="16838"/>
      <w:pgMar w:top="1145" w:right="1293" w:bottom="1213" w:left="1519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E32BA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A57A2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A57A2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A4DFB03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2D432"/>
    <w:multiLevelType w:val="singleLevel"/>
    <w:tmpl w:val="5892D432"/>
    <w:lvl w:ilvl="0" w:tentative="0">
      <w:start w:val="2"/>
      <w:numFmt w:val="decimal"/>
      <w:suff w:val="nothing"/>
      <w:lvlText w:val="%1、"/>
      <w:lvlJc w:val="left"/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D6D78"/>
    <w:rsid w:val="0BD64A84"/>
    <w:rsid w:val="1A5D6D78"/>
    <w:rsid w:val="26931E56"/>
    <w:rsid w:val="3E577EC1"/>
    <w:rsid w:val="43DB37CF"/>
    <w:rsid w:val="4851302C"/>
    <w:rsid w:val="793B4DF1"/>
    <w:rsid w:val="7DBE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  <w:color w:val="auto"/>
      <w:sz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257</Characters>
  <Lines>0</Lines>
  <Paragraphs>0</Paragraphs>
  <TotalTime>0</TotalTime>
  <ScaleCrop>false</ScaleCrop>
  <LinksUpToDate>false</LinksUpToDate>
  <CharactersWithSpaces>369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2025-09-26T08:30:00Z</dcterms:created>
  <dc:creator>于洪英</dc:creator>
  <cp:lastModifiedBy>于洪英</cp:lastModifiedBy>
  <dcterms:modified xsi:type="dcterms:W3CDTF">2026-02-05T07:58:01Z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A820D235FF71413ABF1F25B5F5720AAD_13</vt:lpwstr>
  </property>
  <property fmtid="{D5CDD505-2E9C-101B-9397-08002B2CF9AE}" pid="4" name="KSOTemplateDocerSaveRecord">
    <vt:lpwstr>eyJoZGlkIjoiNzYwYzZkZWRlZGU1MTI5YmVkNmE2NzQyMGM4NWIyNzQiLCJ1c2VySWQiOiIxMTUzNTY0MDg0In0=</vt:lpwstr>
  </property>
</Properties>
</file>